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66"/>
        <w:tblW w:w="0" w:type="auto"/>
        <w:tblInd w:w="-1205" w:type="dxa"/>
        <w:tblLayout w:type="fixed"/>
        <w:tblLook w:val="04A0" w:firstRow="1" w:lastRow="0" w:firstColumn="1" w:lastColumn="0" w:noHBand="0" w:noVBand="1"/>
      </w:tblPr>
      <w:tblGrid>
        <w:gridCol w:w="4715"/>
        <w:gridCol w:w="1505"/>
        <w:gridCol w:w="473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5" w:type="dxa"/>
            <w:textDirection w:val="lrTb"/>
            <w:noWrap w:val="false"/>
          </w:tcPr>
          <w:p>
            <w:pPr>
              <w:contextualSpacing w:val="0"/>
              <w:ind w:left="9" w:right="0" w:firstLine="0"/>
              <w:jc w:val="center"/>
              <w:spacing w:before="283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ҒҰМАРБЕК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ДƏУКЕЕВ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АТЫНДАҒЫ 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z w:val="28"/>
              </w:rPr>
              <w:t xml:space="preserve">АЛМАТЫ ЭНЕРГЕТИКА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ЖƏНЕ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БАЙЛАНЫС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УНИВЕРСИТЕТІ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5" w:type="dxa"/>
            <w:vMerge w:val="restart"/>
            <w:textDirection w:val="lrTb"/>
            <w:noWrap w:val="false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9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123264</wp:posOffset>
                      </wp:positionV>
                      <wp:extent cx="847725" cy="904875"/>
                      <wp:effectExtent l="0" t="0" r="0" b="0"/>
                      <wp:wrapSquare wrapText="bothSides"/>
                      <wp:docPr id="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104118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7722" cy="9048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1pt;mso-wrap-distance-top:0.0pt;mso-wrap-distance-right:9.1pt;mso-wrap-distance-bottom:0.0pt;z-index:9216;o:allowoverlap:true;o:allowincell:true;mso-position-horizontal-relative:text;margin-left:0.0pt;mso-position-horizontal:absolute;mso-position-vertical-relative:text;margin-top:9.7pt;mso-position-vertical:absolute;width:66.8pt;height:71.2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734" w:type="dxa"/>
            <w:textDirection w:val="lrTb"/>
            <w:noWrap w:val="false"/>
          </w:tcPr>
          <w:p>
            <w:pPr>
              <w:contextualSpacing w:val="0"/>
              <w:ind w:left="4" w:right="3" w:firstLine="0"/>
              <w:jc w:val="center"/>
              <w:spacing w:before="283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АЛМАТИНСКИЙ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УНИВЕРСИТЕТ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z w:val="28"/>
              </w:rPr>
              <w:t xml:space="preserve">ЭНЕРГЕТИКИ И СВЯЗИ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ИМЕНИ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ГУМАРБЕКА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</w:rPr>
              <w:t xml:space="preserve">ДАУКЕЕВА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5" w:type="dxa"/>
            <w:textDirection w:val="lrTb"/>
            <w:noWrap w:val="false"/>
          </w:tcPr>
          <w:p>
            <w:pPr>
              <w:contextualSpacing w:val="0"/>
              <w:ind w:left="-142" w:right="-178" w:firstLine="0"/>
              <w:jc w:val="center"/>
              <w:spacing w:before="53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0"/>
              </w:rPr>
              <w:t xml:space="preserve">КОММЕРЦИЯЛЫҚ</w:t>
            </w:r>
            <w:r>
              <w:rPr>
                <w:rFonts w:ascii="Times New Roman" w:hAnsi="Times New Roman" w:cs="Times New Roman" w:eastAsia="Times New Roman"/>
                <w:color w:val="163C64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0"/>
              </w:rPr>
              <w:t xml:space="preserve">ЕМЕС</w:t>
            </w:r>
            <w:r>
              <w:rPr>
                <w:rFonts w:ascii="Times New Roman" w:hAnsi="Times New Roman" w:cs="Times New Roman" w:eastAsia="Times New Roman"/>
                <w:color w:val="163C64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0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163C64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0"/>
              </w:rPr>
              <w:t xml:space="preserve">ҚОҒАМЫ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4" w:type="dxa"/>
            <w:textDirection w:val="lrTb"/>
            <w:noWrap w:val="false"/>
          </w:tcPr>
          <w:p>
            <w:pPr>
              <w:ind w:left="4" w:right="4" w:firstLine="0"/>
              <w:jc w:val="center"/>
              <w:spacing w:before="53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0"/>
              </w:rPr>
              <w:t xml:space="preserve">НЕКОММЕРЧЕСКОЕ</w:t>
            </w:r>
            <w:r>
              <w:rPr>
                <w:rFonts w:ascii="Times New Roman" w:hAnsi="Times New Roman" w:cs="Times New Roman" w:eastAsia="Times New Roman"/>
                <w:color w:val="163C64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0"/>
              </w:rPr>
              <w:t xml:space="preserve">АКЦИОНЕРНОЕ</w:t>
            </w:r>
            <w:r>
              <w:rPr>
                <w:rFonts w:ascii="Times New Roman" w:hAnsi="Times New Roman" w:cs="Times New Roman" w:eastAsia="Times New Roman"/>
                <w:color w:val="163C64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0"/>
              </w:rPr>
              <w:t xml:space="preserve">ОБЩЕСТВО</w:t>
            </w:r>
            <w:r/>
          </w:p>
        </w:tc>
      </w:tr>
    </w:tbl>
    <w:p>
      <w:pPr>
        <w:contextualSpacing w:val="0"/>
        <w:ind w:left="-992" w:right="0" w:firstLine="0"/>
        <w:jc w:val="left"/>
        <w:spacing w:before="0" w:after="0" w:line="566" w:lineRule="exact"/>
        <w:suppressLineNumbers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94188" cy="17627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485256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6694186" cy="17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527.1pt;height:1.4pt;" stroked="false">
                <v:path textboxrect="0,0,0,0"/>
                <v:imagedata r:id="rId16" o:title=""/>
              </v:shape>
            </w:pict>
          </mc:Fallback>
        </mc:AlternateContent>
      </w:r>
      <w:r/>
    </w:p>
    <w:tbl>
      <w:tblPr>
        <w:tblStyle w:val="766"/>
        <w:tblpPr w:horzAnchor="margin" w:tblpX="-962" w:vertAnchor="margin" w:tblpY="2891" w:leftFromText="181" w:topFromText="0" w:rightFromText="181" w:bottomFromText="0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8"/>
      </w:tblGrid>
      <w:tr>
        <w:trPr/>
        <w:tc>
          <w:tcPr>
            <w:tcBorders>
              <w:top w:val="none" w:color="000000" w:sz="8" w:space="0"/>
              <w:left w:val="none" w:color="000000" w:sz="8" w:space="0"/>
              <w:bottom w:val="none" w:color="000000" w:sz="8" w:space="0"/>
              <w:right w:val="none" w:color="000000" w:sz="8" w:space="0"/>
            </w:tcBorders>
            <w:tcW w:w="4218" w:type="dxa"/>
            <w:textDirection w:val="lrTb"/>
            <w:noWrap w:val="false"/>
          </w:tcPr>
          <w:p>
            <w:pPr>
              <w:ind w:left="0" w:right="3" w:firstLine="0"/>
              <w:jc w:val="center"/>
              <w:spacing w:before="91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2"/>
              </w:rPr>
              <w:t xml:space="preserve">Қазақстан</w:t>
            </w:r>
            <w:r>
              <w:rPr>
                <w:rFonts w:ascii="Times New Roman" w:hAnsi="Times New Roman" w:cs="Times New Roman" w:eastAsia="Times New Roman"/>
                <w:color w:val="163C64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2"/>
                <w:sz w:val="22"/>
              </w:rPr>
              <w:t xml:space="preserve">Республикасы</w:t>
            </w:r>
            <w:r/>
          </w:p>
          <w:p>
            <w:pPr>
              <w:ind w:left="0" w:right="3" w:firstLine="0"/>
              <w:jc w:val="center"/>
              <w:spacing w:before="1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163C64"/>
                <w:spacing w:val="-8"/>
                <w:sz w:val="22"/>
              </w:rPr>
              <w:t xml:space="preserve">050013, Алматы қ., Байтұрсынұлы к-сі, 126/1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тел.:</w:t>
            </w:r>
            <w:r>
              <w:rPr>
                <w:rFonts w:ascii="Times New Roman" w:hAnsi="Times New Roman" w:cs="Times New Roman" w:eastAsia="Times New Roman"/>
                <w:color w:val="163C64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+7</w:t>
            </w:r>
            <w:r>
              <w:rPr>
                <w:rFonts w:ascii="Times New Roman" w:hAnsi="Times New Roman" w:cs="Times New Roman" w:eastAsia="Times New Roman"/>
                <w:color w:val="163C64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(7273)</w:t>
            </w:r>
            <w:r>
              <w:rPr>
                <w:rFonts w:ascii="Times New Roman" w:hAnsi="Times New Roman" w:cs="Times New Roman" w:eastAsia="Times New Roman"/>
                <w:color w:val="163C64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23-11-75</w:t>
            </w:r>
            <w:r>
              <w:rPr>
                <w:rFonts w:ascii="Times New Roman" w:hAnsi="Times New Roman" w:cs="Times New Roman" w:eastAsia="Times New Roman"/>
                <w:color w:val="163C64"/>
                <w:spacing w:val="-13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(вн.</w:t>
            </w:r>
            <w:r>
              <w:rPr>
                <w:rFonts w:ascii="Times New Roman" w:hAnsi="Times New Roman" w:cs="Times New Roman" w:eastAsia="Times New Roman"/>
                <w:color w:val="163C64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6121)</w:t>
            </w:r>
            <w:r/>
          </w:p>
          <w:p>
            <w:pPr>
              <w:pStyle w:val="705"/>
              <w:contextualSpacing/>
              <w:ind w:left="0" w:right="3" w:firstLine="0"/>
              <w:jc w:val="center"/>
              <w:spacing w:before="0" w:after="0" w:afterAutospacing="0" w:line="240" w:lineRule="auto"/>
            </w:pPr>
            <w:r>
              <w:rPr>
                <w:rFonts w:ascii="Times New Roman" w:hAnsi="Times New Roman" w:cs="Times New Roman" w:eastAsia="Times New Roman"/>
                <w:color w:val="163C64"/>
                <w:spacing w:val="-8"/>
                <w:sz w:val="22"/>
              </w:rPr>
              <w:t xml:space="preserve">e-mail:</w:t>
            </w:r>
            <w:r>
              <w:rPr>
                <w:rFonts w:ascii="Times New Roman" w:hAnsi="Times New Roman" w:cs="Times New Roman" w:eastAsia="Times New Roman"/>
                <w:color w:val="163C64"/>
                <w:spacing w:val="3"/>
                <w:sz w:val="22"/>
              </w:rPr>
              <w:t xml:space="preserve"> </w:t>
            </w:r>
            <w:hyperlink r:id="rId17" w:tooltip="mailto:aues@aues.kz" w:history="1">
              <w:r>
                <w:rPr>
                  <w:rStyle w:val="735"/>
                  <w:rFonts w:ascii="Times New Roman" w:hAnsi="Times New Roman" w:cs="Times New Roman" w:eastAsia="Times New Roman"/>
                  <w:color w:val="163C64"/>
                  <w:spacing w:val="-8"/>
                  <w:sz w:val="22"/>
                  <w:u w:val="single"/>
                </w:rPr>
                <w:t xml:space="preserve">aues@aues.kz</w:t>
              </w:r>
            </w:hyperlink>
            <w:r/>
            <w:r/>
          </w:p>
        </w:tc>
      </w:tr>
    </w:tbl>
    <w:tbl>
      <w:tblPr>
        <w:tblStyle w:val="766"/>
        <w:tblpPr w:horzAnchor="page" w:tblpX="6943" w:vertAnchor="page" w:tblpY="4076" w:leftFromText="181" w:topFromText="0" w:rightFromText="181" w:bottomFromText="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32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3" w:type="dxa"/>
            <w:textDirection w:val="lrTb"/>
            <w:noWrap w:val="false"/>
          </w:tcPr>
          <w:p>
            <w:pPr>
              <w:ind w:left="0" w:right="3" w:firstLine="0"/>
              <w:jc w:val="center"/>
              <w:spacing w:before="91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163C64"/>
                <w:spacing w:val="-7"/>
                <w:sz w:val="22"/>
              </w:rPr>
              <w:t xml:space="preserve">Республика</w:t>
            </w:r>
            <w:r>
              <w:rPr>
                <w:rFonts w:ascii="Times New Roman" w:hAnsi="Times New Roman" w:cs="Times New Roman" w:eastAsia="Times New Roman"/>
                <w:color w:val="163C64"/>
                <w:spacing w:val="5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2"/>
                <w:sz w:val="22"/>
              </w:rPr>
              <w:t xml:space="preserve">Казахстан</w:t>
            </w:r>
            <w:r/>
          </w:p>
          <w:p>
            <w:pPr>
              <w:ind w:left="0" w:right="3" w:firstLine="0"/>
              <w:jc w:val="center"/>
              <w:spacing w:before="1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2"/>
              </w:rPr>
              <w:t xml:space="preserve">050013,</w:t>
            </w:r>
            <w:r>
              <w:rPr>
                <w:rFonts w:ascii="Times New Roman" w:hAnsi="Times New Roman" w:cs="Times New Roman" w:eastAsia="Times New Roman"/>
                <w:color w:val="163C64"/>
                <w:spacing w:val="-10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2"/>
              </w:rPr>
              <w:t xml:space="preserve">г.</w:t>
            </w:r>
            <w:r>
              <w:rPr>
                <w:rFonts w:ascii="Times New Roman" w:hAnsi="Times New Roman" w:cs="Times New Roman" w:eastAsia="Times New Roman"/>
                <w:color w:val="163C64"/>
                <w:spacing w:val="-10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2"/>
              </w:rPr>
              <w:t xml:space="preserve">Алматы,</w:t>
            </w:r>
            <w:r>
              <w:rPr>
                <w:rFonts w:ascii="Times New Roman" w:hAnsi="Times New Roman" w:cs="Times New Roman" w:eastAsia="Times New Roman"/>
                <w:color w:val="163C64"/>
                <w:spacing w:val="-10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2"/>
              </w:rPr>
              <w:t xml:space="preserve">ул.Байтурсынулы,</w:t>
            </w:r>
            <w:r>
              <w:rPr>
                <w:rFonts w:ascii="Times New Roman" w:hAnsi="Times New Roman" w:cs="Times New Roman" w:eastAsia="Times New Roman"/>
                <w:color w:val="163C64"/>
                <w:spacing w:val="-10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2"/>
              </w:rPr>
              <w:t xml:space="preserve">126/1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тел.:</w:t>
            </w:r>
            <w:r>
              <w:rPr>
                <w:rFonts w:ascii="Times New Roman" w:hAnsi="Times New Roman" w:cs="Times New Roman" w:eastAsia="Times New Roman"/>
                <w:color w:val="163C64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+7</w:t>
            </w:r>
            <w:r>
              <w:rPr>
                <w:rFonts w:ascii="Times New Roman" w:hAnsi="Times New Roman" w:cs="Times New Roman" w:eastAsia="Times New Roman"/>
                <w:color w:val="163C64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(7273)</w:t>
            </w:r>
            <w:r>
              <w:rPr>
                <w:rFonts w:ascii="Times New Roman" w:hAnsi="Times New Roman" w:cs="Times New Roman" w:eastAsia="Times New Roman"/>
                <w:color w:val="163C64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23-11-75</w:t>
            </w:r>
            <w:r>
              <w:rPr>
                <w:rFonts w:ascii="Times New Roman" w:hAnsi="Times New Roman" w:cs="Times New Roman" w:eastAsia="Times New Roman"/>
                <w:color w:val="163C64"/>
                <w:spacing w:val="-13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(ішкі</w:t>
            </w:r>
            <w:r>
              <w:rPr>
                <w:rFonts w:ascii="Times New Roman" w:hAnsi="Times New Roman" w:cs="Times New Roman" w:eastAsia="Times New Roman"/>
                <w:color w:val="163C64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sz w:val="22"/>
              </w:rPr>
              <w:t xml:space="preserve">6121)</w:t>
            </w:r>
            <w:r/>
          </w:p>
          <w:p>
            <w:pPr>
              <w:pStyle w:val="705"/>
              <w:contextualSpacing/>
              <w:ind w:left="0" w:right="3" w:firstLine="0"/>
              <w:jc w:val="center"/>
              <w:spacing w:before="0" w:after="0" w:afterAutospacing="0" w:line="240" w:lineRule="auto"/>
            </w:pPr>
            <w:r>
              <w:rPr>
                <w:rFonts w:ascii="Times New Roman" w:hAnsi="Times New Roman" w:cs="Times New Roman" w:eastAsia="Times New Roman"/>
                <w:color w:val="163C64"/>
                <w:spacing w:val="-6"/>
                <w:sz w:val="22"/>
              </w:rPr>
              <w:t xml:space="preserve">e-mail:</w:t>
            </w:r>
            <w:r>
              <w:rPr>
                <w:rFonts w:ascii="Times New Roman" w:hAnsi="Times New Roman" w:cs="Times New Roman" w:eastAsia="Times New Roman"/>
                <w:color w:val="163C64"/>
                <w:spacing w:val="2"/>
                <w:sz w:val="22"/>
              </w:rPr>
              <w:t xml:space="preserve"> </w:t>
            </w:r>
            <w:hyperlink r:id="rId18" w:tooltip="mailto:aues@aues.kz" w:history="1">
              <w:r>
                <w:rPr>
                  <w:rStyle w:val="735"/>
                  <w:rFonts w:ascii="Times New Roman" w:hAnsi="Times New Roman" w:cs="Times New Roman" w:eastAsia="Times New Roman"/>
                  <w:color w:val="163C64"/>
                  <w:spacing w:val="-6"/>
                  <w:sz w:val="22"/>
                  <w:u w:val="single"/>
                </w:rPr>
                <w:t xml:space="preserve">aues@aues.kz</w:t>
              </w:r>
            </w:hyperlink>
            <w:r/>
            <w:r/>
          </w:p>
        </w:tc>
      </w:tr>
    </w:tbl>
    <w:p>
      <w:pPr>
        <w:contextualSpacing/>
        <w:spacing w:before="0" w:after="0" w:afterAutospacing="0" w:line="240" w:lineRule="auto"/>
        <w:rPr>
          <w:rFonts w:ascii="Times New Roman" w:hAnsi="Times New Roman"/>
          <w:sz w:val="28"/>
          <w:szCs w:val="28"/>
          <w:highlight w:val="none"/>
          <w:lang w:val="kk-KZ"/>
        </w:rPr>
      </w:pPr>
      <w:r>
        <w:rPr>
          <w:rFonts w:ascii="Times New Roman" w:hAnsi="Times New Roman"/>
          <w:sz w:val="28"/>
          <w:szCs w:val="28"/>
          <w:highlight w:val="none"/>
          <w:lang w:val="kk-KZ"/>
        </w:rPr>
      </w:r>
      <w:r>
        <w:rPr>
          <w:rFonts w:ascii="Times New Roman" w:hAnsi="Times New Roman"/>
          <w:sz w:val="28"/>
          <w:szCs w:val="28"/>
          <w:highlight w:val="none"/>
          <w:lang w:val="kk-KZ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pStyle w:val="706"/>
        <w:ind w:left="0" w:right="426" w:firstLine="425"/>
        <w:jc w:val="both"/>
        <w:spacing w:before="0" w:after="0"/>
        <w:tabs>
          <w:tab w:val="left" w:pos="6728" w:leader="none"/>
        </w:tabs>
        <w:rPr>
          <w:rFonts w:ascii="Times New Roman" w:hAnsi="Times New Roman" w:cs="Times New Roman" w:eastAsia="Times New Roman"/>
          <w:b/>
          <w:color w:val="163C64"/>
          <w:spacing w:val="-2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163C64"/>
          <w:spacing w:val="-2"/>
          <w:sz w:val="28"/>
        </w:rPr>
        <w:t xml:space="preserve">    БҰЙРЫҚ</w:t>
      </w:r>
      <w:r>
        <w:rPr>
          <w:rFonts w:ascii="Times New Roman" w:hAnsi="Times New Roman" w:cs="Times New Roman" w:eastAsia="Times New Roman"/>
          <w:b/>
          <w:color w:val="163C64"/>
          <w:sz w:val="28"/>
        </w:rPr>
        <w:tab/>
      </w:r>
      <w:r>
        <w:rPr>
          <w:rFonts w:ascii="Times New Roman" w:hAnsi="Times New Roman" w:cs="Times New Roman" w:eastAsia="Times New Roman"/>
          <w:b/>
          <w:color w:val="163C64"/>
          <w:spacing w:val="-2"/>
          <w:sz w:val="28"/>
        </w:rPr>
        <w:t xml:space="preserve"> ПРИКАЗ</w:t>
      </w:r>
      <w:r/>
    </w:p>
    <w:tbl>
      <w:tblPr>
        <w:tblStyle w:val="766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5244"/>
        <w:gridCol w:w="538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pStyle w:val="706"/>
              <w:jc w:val="center"/>
              <w:spacing w:before="0" w:after="0"/>
              <w:tabs>
                <w:tab w:val="left" w:pos="6741" w:leader="none"/>
              </w:tabs>
              <w:rPr>
                <w:rFonts w:ascii="Times New Roman" w:hAnsi="Times New Roman" w:cs="Times New Roman" w:eastAsia="Times New Roman"/>
                <w:color w:val="163C6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163C64"/>
                <w:spacing w:val="-8"/>
                <w:sz w:val="28"/>
                <w:highlight w:val="none"/>
              </w:rPr>
            </w:r>
            <w:r>
              <w:rPr>
                <w:rFonts w:ascii="Times New Roman" w:hAnsi="Times New Roman" w:cs="Times New Roman" w:eastAsia="Times New Roman" w:hint="default"/>
                <w:color w:val="000000"/>
                <w:sz w:val="24"/>
                <w:u w:val="none"/>
              </w:rPr>
              <w:t xml:space="preserve">13.08.2025</w:t>
            </w:r>
            <w:r>
              <w:rPr>
                <w:rFonts w:ascii="Times New Roman" w:hAnsi="Times New Roman" w:cs="Times New Roman" w:eastAsia="Times New Roman" w:hint="default"/>
                <w:sz w:val="24"/>
              </w:rPr>
              <w:t xml:space="preserve"> ж./г.</w:t>
            </w:r>
            <w:r>
              <w:rPr>
                <w:rFonts w:ascii="Times New Roman" w:hAnsi="Times New Roman" w:cs="Times New Roman" w:eastAsia="Times New Roman"/>
                <w:color w:val="163C64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706"/>
              <w:jc w:val="center"/>
              <w:spacing w:before="0" w:after="0"/>
              <w:tabs>
                <w:tab w:val="left" w:pos="6741" w:leader="none"/>
              </w:tabs>
              <w:rPr>
                <w:rFonts w:ascii="Times New Roman" w:hAnsi="Times New Roman" w:cs="Times New Roman" w:eastAsia="Times New Roman"/>
                <w:color w:val="163C6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 w:hint="default"/>
                <w:color w:val="000000"/>
                <w:sz w:val="24"/>
                <w:u w:val="none"/>
              </w:rPr>
              <w:t xml:space="preserve">№19/33</w:t>
            </w:r>
            <w:r>
              <w:rPr>
                <w:rFonts w:ascii="Times New Roman" w:hAnsi="Times New Roman" w:cs="Times New Roman" w:eastAsia="Times New Roman" w:hint="default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63C64"/>
                <w:highlight w:val="none"/>
              </w:rPr>
            </w:r>
            <w:r/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tbl>
      <w:tblPr>
        <w:tblStyle w:val="76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/>
          </w:p>
          <w:p>
            <w:pPr>
              <w:ind w:left="0" w:right="0" w:firstLine="0"/>
              <w:spacing w:before="0" w:after="0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О размерах платы за проживание </w:t>
            </w:r>
            <w:r>
              <w:rPr>
                <w:rFonts w:ascii="Calibri" w:hAnsi="Calibri" w:cs="Calibri" w:eastAsia="Calibri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tabs>
                <w:tab w:val="left" w:pos="781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в общежитиях Университета</w:t>
            </w:r>
            <w:r>
              <w:rPr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14"/>
              <w:jc w:val="both"/>
              <w:spacing w:before="0" w:after="0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 целях упорядочения системы платы за проживание в общежитиях,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ПРИКАЗЫВАЮ:</w:t>
            </w:r>
            <w:r>
              <w:rPr>
                <w:sz w:val="24"/>
              </w:rPr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 1 сентября 2025 года установить следующие размеры ежемесячной платы за проживание:</w:t>
            </w:r>
            <w:r>
              <w:rPr>
                <w:sz w:val="24"/>
              </w:rPr>
            </w:r>
            <w:r/>
          </w:p>
          <w:p>
            <w:pPr>
              <w:ind w:left="360" w:right="0" w:firstLine="0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1.1. для студентов Университета при длительном проживании:</w:t>
            </w:r>
            <w:r>
              <w:rPr>
                <w:sz w:val="24"/>
              </w:rPr>
            </w:r>
            <w:r/>
          </w:p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1276"/>
              <w:gridCol w:w="1417"/>
              <w:gridCol w:w="1417"/>
            </w:tblGrid>
            <w:tr>
              <w:trPr>
                <w:trHeight w:val="343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Номер общежития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№1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№2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№3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righ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Вид номера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gridSpan w:val="3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11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000000"/>
                      <w:sz w:val="24"/>
                    </w:rPr>
                    <w:t xml:space="preserve">Стоимость  за одно  место  в номере в месяц (в тенге)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1276"/>
              <w:gridCol w:w="1417"/>
              <w:gridCol w:w="1417"/>
            </w:tblGrid>
            <w:tr>
              <w:trPr>
                <w:trHeight w:val="337"/>
              </w:trPr>
              <w:tc>
                <w:tcPr>
                  <w:gridSpan w:val="4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963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000000"/>
                      <w:sz w:val="24"/>
                    </w:rPr>
                    <w:t xml:space="preserve">Студентам колледжа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18 000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392"/>
              </w:trPr>
              <w:tc>
                <w:tcPr>
                  <w:gridSpan w:val="4"/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963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000000"/>
                      <w:sz w:val="24"/>
                    </w:rPr>
                    <w:t xml:space="preserve">Студентам программ бакалавриата, магистратуры и докторантуры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5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42 000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42 000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2-местный номер с общим санузлом 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29 000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32 000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39 000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18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3-местный номер с общим санузлом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28 000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89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4-местный номер 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32 000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32 000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2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4-местный номер с общим санузлом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20 000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25 000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25 000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56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5-местный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31 000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77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5-местный номер с общим санузлом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24 000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26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6-местный номер с общим санузлом 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21 000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p>
            <w:pPr>
              <w:ind w:left="360" w:right="0" w:firstLine="0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numPr>
                <w:ilvl w:val="1"/>
                <w:numId w:val="1"/>
              </w:numPr>
              <w:contextualSpacing w:val="0"/>
              <w:ind w:left="720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для сотрудников Университета, приглашенных гостей Университета, а также обучающихся по программе академической мобильности Университета:</w:t>
            </w:r>
            <w:r>
              <w:rPr>
                <w:sz w:val="24"/>
              </w:rPr>
            </w:r>
            <w:r/>
          </w:p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1276"/>
              <w:gridCol w:w="1276"/>
              <w:gridCol w:w="1559"/>
            </w:tblGrid>
            <w:tr>
              <w:trPr>
                <w:trHeight w:val="343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Номер общежития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№1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№2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№3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righ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Вид номера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gridSpan w:val="3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11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000000"/>
                      <w:sz w:val="24"/>
                    </w:rPr>
                    <w:t xml:space="preserve">Стоимость  за номер в месяц</w:t>
                  </w:r>
                  <w:r>
                    <w:rPr>
                      <w:sz w:val="24"/>
                    </w:rPr>
                  </w:r>
                  <w:r/>
                </w:p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000000"/>
                      <w:sz w:val="24"/>
                    </w:rPr>
                    <w:t xml:space="preserve"> (в тенге)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1276"/>
              <w:gridCol w:w="1276"/>
              <w:gridCol w:w="1559"/>
            </w:tblGrid>
            <w:tr>
              <w:trPr>
                <w:trHeight w:val="386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40 600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58 800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58 800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37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72 000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37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45 000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73 000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right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73 000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p>
            <w:pPr>
              <w:numPr>
                <w:ilvl w:val="1"/>
                <w:numId w:val="1"/>
              </w:numPr>
              <w:contextualSpacing w:val="0"/>
              <w:ind w:left="720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для других категорий при кратковременном проживании (суточная оплата и при наличии свободных мест):</w:t>
            </w:r>
            <w:r>
              <w:rPr>
                <w:sz w:val="24"/>
              </w:rPr>
            </w:r>
            <w:r/>
          </w:p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1276"/>
              <w:gridCol w:w="1276"/>
              <w:gridCol w:w="1559"/>
            </w:tblGrid>
            <w:tr>
              <w:trPr>
                <w:trHeight w:val="343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Номер общежития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№1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№2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№3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righ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Вид номера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gridSpan w:val="3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11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000000"/>
                      <w:sz w:val="24"/>
                    </w:rPr>
                    <w:t xml:space="preserve">Стоимость  за одно место  в номере в сутки (в тенге)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1276"/>
              <w:gridCol w:w="1276"/>
              <w:gridCol w:w="1559"/>
            </w:tblGrid>
            <w:tr>
              <w:trPr>
                <w:trHeight w:val="325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4 500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6 500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6 500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349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6 000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2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4 500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4 500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2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85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VIP-комната (номер)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8 000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p>
            <w:pPr>
              <w:ind w:left="781" w:right="0" w:firstLine="0"/>
              <w:spacing w:before="0" w:after="0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1.4. для студентов других высших учебных заведений </w:t>
            </w:r>
            <w:r>
              <w:rPr>
                <w:sz w:val="24"/>
              </w:rPr>
            </w:r>
            <w:r/>
          </w:p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9"/>
              <w:gridCol w:w="1579"/>
              <w:gridCol w:w="1276"/>
              <w:gridCol w:w="1559"/>
            </w:tblGrid>
            <w:tr>
              <w:trPr>
                <w:trHeight w:val="343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4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Номер общежития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7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№1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№2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№3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4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righ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Вид номера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gridSpan w:val="3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413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000000"/>
                      <w:sz w:val="24"/>
                    </w:rPr>
                    <w:t xml:space="preserve">Стоимость  за одно место  в номере в месяц (в тенге)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9"/>
              <w:gridCol w:w="1559"/>
              <w:gridCol w:w="1134"/>
              <w:gridCol w:w="1701"/>
            </w:tblGrid>
            <w:tr>
              <w:trPr>
                <w:trHeight w:val="273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6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2-местный номер с общим санузлом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34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75 000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75 000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6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65 000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34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85 000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85 000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6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3-местный номер с общим санузлом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34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65 000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65 000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6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34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75 000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75 000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6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4-местный номер с общим санузлом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50 000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34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55000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55 000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6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4-местный номер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34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65 000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bottom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65 000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p>
            <w:pPr>
              <w:ind w:left="0" w:right="0" w:firstLine="0"/>
              <w:jc w:val="both"/>
              <w:spacing w:before="0" w:after="0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2. Установить для работников Университета, относящихся к вспомогательному персоналу (работники административно-хозяйственного департамента, в том числе комендаты,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медицинский персонал,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вахтеры, уборщики, разнорабочие, иные работники хозяйственного обеспече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ния) и проживающих в общежитии, плату за проживание в размере,  покрывающем только коммунальные услуги:    </w:t>
            </w:r>
            <w:r>
              <w:rPr>
                <w:sz w:val="24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9"/>
              <w:gridCol w:w="1437"/>
              <w:gridCol w:w="1276"/>
              <w:gridCol w:w="1701"/>
            </w:tblGrid>
            <w:tr>
              <w:trPr>
                <w:trHeight w:val="343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4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Номер общежития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3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№1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№2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№3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4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right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z w:val="24"/>
                    </w:rPr>
                    <w:t xml:space="preserve">Вид номера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gridSpan w:val="3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413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000000"/>
                      <w:sz w:val="24"/>
                    </w:rPr>
                    <w:t xml:space="preserve">Стоимость  за номер в месяц</w:t>
                  </w:r>
                  <w:r>
                    <w:rPr>
                      <w:sz w:val="24"/>
                    </w:rPr>
                  </w:r>
                  <w:r/>
                </w:p>
                <w:p>
                  <w:pPr>
                    <w:ind w:left="0" w:right="0" w:firstLine="0"/>
                    <w:jc w:val="center"/>
                    <w:spacing w:before="0" w:after="0"/>
                    <w:tabs>
                      <w:tab w:val="left" w:pos="1022" w:leader="none"/>
                    </w:tabs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000000"/>
                      <w:sz w:val="24"/>
                    </w:rPr>
                    <w:t xml:space="preserve"> (в тенге)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tbl>
            <w:tblPr>
              <w:tblStyle w:val="766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9"/>
              <w:gridCol w:w="1417"/>
              <w:gridCol w:w="1276"/>
              <w:gridCol w:w="1701"/>
            </w:tblGrid>
            <w:tr>
              <w:trPr>
                <w:trHeight w:val="449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69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2-местный номер</w:t>
                  </w:r>
                  <w:r>
                    <w:rPr>
                      <w:rFonts w:ascii="Calibri" w:hAnsi="Calibri" w:cs="Calibri" w:eastAsia="Calibri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с общим санузлом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center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14 500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center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16 000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21 000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359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69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3-местный номер</w:t>
                  </w:r>
                  <w:r>
                    <w:rPr>
                      <w:rFonts w:ascii="Calibri" w:hAnsi="Calibri" w:cs="Calibri" w:eastAsia="Calibri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с общим санузлом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center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center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21 000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>
                    <w:rPr>
                      <w:sz w:val="24"/>
                    </w:rPr>
                  </w:r>
                  <w:r/>
                </w:p>
              </w:tc>
            </w:tr>
            <w:tr>
              <w:trPr>
                <w:trHeight w:val="37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569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4-местный номер</w:t>
                  </w:r>
                  <w:r>
                    <w:rPr>
                      <w:rFonts w:ascii="Calibri" w:hAnsi="Calibri" w:cs="Calibri" w:eastAsia="Calibri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с общим санузлом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17" w:type="dxa"/>
                  <w:vAlign w:val="center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20 000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76" w:type="dxa"/>
                  <w:vAlign w:val="center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25 000</w:t>
                  </w:r>
                  <w:r>
                    <w:rPr>
                      <w:sz w:val="24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25 000</w:t>
                  </w:r>
                  <w:r>
                    <w:rPr>
                      <w:sz w:val="24"/>
                    </w:rPr>
                  </w:r>
                  <w:r/>
                </w:p>
              </w:tc>
            </w:tr>
          </w:tbl>
          <w:p>
            <w:pPr>
              <w:ind w:left="0" w:right="0" w:firstLine="0"/>
              <w:jc w:val="both"/>
              <w:spacing w:before="0" w:after="0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3. Установить следующие скидки для студентов Университета от стоимости, указанной в пункте 1.1. настоящего Приказа:</w:t>
            </w:r>
            <w:r>
              <w:rPr>
                <w:sz w:val="24"/>
              </w:rPr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5% от стоимости за одно место в месяц при единовременной оплате проживания за период с сентября по декабрь либо с января по май;</w:t>
            </w:r>
            <w:r>
              <w:rPr>
                <w:sz w:val="24"/>
              </w:rPr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10% от стоимости за одно место в месяц при единовременной оплате проживания за период с сентября по май учебного года.</w:t>
            </w:r>
            <w:r>
              <w:rPr>
                <w:sz w:val="24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4. Установить следующий порядок приоритетного предоставления места в общежитиях: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 первую очередь – студентам колледжа Университета (все курсы);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одновременно с ними в первую очередь – студентам 1 курса Университета;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 наличии свободных мест – студентам 2 курса Университета;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далее - студентам 3 курса Университета;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затем – студентам 4 курса Университета;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 последнюю очередь – сотрудникам Университета.   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5. Установить срок проживания студентов Университета в общежитиях с 25 августа по 31 мая (включительно) учебного года. Продление срока проживания после 31 мая допускается исключительно по заявлению при наличии обоснованных причин. 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022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6. С даты подписания настоящего приказа считать утратившим силу приказ №101 от 10 сентября 2024 года  «Об оплате за проживание в общежитиях».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134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134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7. Директору департамента по работе со студентами Солтанбекову А. А. ознакомить всех заселяющихся в общежитие с условиями оплаты и правилами проживания в общежитии.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134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134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8. Контроль за исполнением настоящего приказа возложить на проректора по развитию Жазыкпаеву А. А.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134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134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9. Руководителю Канцелярии и архива Каипжановой А.М. довести настоящий приказ до сведения всех структурных подразделений Университета.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134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709"/>
              <w:jc w:val="both"/>
              <w:spacing w:before="0" w:after="0"/>
              <w:tabs>
                <w:tab w:val="left" w:pos="1134" w:leader="none"/>
              </w:tabs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  <w:t xml:space="preserve">Ректор </w:t>
        <w:tab/>
        <w:tab/>
        <w:tab/>
        <w:tab/>
        <w:tab/>
        <w:tab/>
        <w:tab/>
        <w:tab/>
        <w:tab/>
        <w:tab/>
        <w:tab/>
        <w:tab/>
        <w:t xml:space="preserve">Г.С. Ныгыметов</w:t>
      </w:r>
      <w:r>
        <w:rPr>
          <w:b/>
          <w:sz w:val="20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tbl>
      <w:tblPr>
        <w:tblStyle w:val="76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i/>
                <w:sz w:val="22"/>
              </w:rPr>
              <w:t xml:space="preserve">Подписант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 w:hint="default"/>
                <w:color w:val="000000"/>
                <w:sz w:val="24"/>
                <w:u w:val="none"/>
              </w:rPr>
              <w:t xml:space="preserve">Издатель ЭЦП - ҰЛТТЫҚ КУӘЛАНДЫРУШЫ ОРТАЛЫҚ (GOST) 2022, НЫГЫМЕТОВ ГАНИ, Некоммерческое акционерное общество "Алматинский университет энергетики и связи имени Гумарбека Даукеева", BIN030640003269</w:t>
            </w:r>
            <w:r>
              <w:rPr>
                <w:rFonts w:ascii="Times New Roman" w:hAnsi="Times New Roman" w:cs="Times New Roman" w:eastAsia="Times New Roman" w:hint="default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i/>
                <w:sz w:val="22"/>
              </w:rPr>
              <w:t xml:space="preserve">Уникальный код: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 w:hint="default"/>
                <w:color w:val="000000"/>
                <w:sz w:val="24"/>
                <w:u w:val="none"/>
              </w:rPr>
              <w:t xml:space="preserve">00A464B26E624DE2</w:t>
            </w:r>
            <w:r>
              <w:rPr>
                <w:rFonts w:ascii="Times New Roman" w:hAnsi="Times New Roman" w:cs="Times New Roman" w:eastAsia="Times New Roman" w:hint="default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i/>
                <w:sz w:val="22"/>
              </w:rPr>
              <w:t xml:space="preserve">Короткая ссылка: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 w:hint="default"/>
                <w:color w:val="000000"/>
                <w:sz w:val="24"/>
                <w:u w:val="none"/>
              </w:rPr>
              <w:t xml:space="preserve">https://sed.aues.kz/document/00A464B26E624DE2</w:t>
            </w:r>
            <w:r>
              <w:rPr>
                <w:rFonts w:ascii="Times New Roman" w:hAnsi="Times New Roman" w:cs="Times New Roman" w:eastAsia="Times New Roman" w:hint="default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7400" cy="787400"/>
                      <wp:effectExtent l="0" t="0" r="0" b="0"/>
                      <wp:docPr id="3" name="Picture 120485256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7400" cy="787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62.0pt;height:62.0pt;" stroked="false">
                      <v:path textboxrect="0,0,0,0"/>
                      <v:imagedata r:id="rId19" o:title=""/>
                    </v:shape>
                  </w:pict>
                </mc:Fallback>
              </mc:AlternateContent>
              <w:t xml:space="preserve">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 w:hint="default"/>
                <w:color w:val="000000"/>
                <w:sz w:val="24"/>
                <w:u w:val="none"/>
              </w:rPr>
              <w:t xml:space="preserve">Электрондық құжатты тексе</w:t>
            </w:r>
            <w:r>
              <w:rPr>
                <w:rFonts w:ascii="Times New Roman" w:hAnsi="Times New Roman" w:cs="Times New Roman" w:eastAsia="Times New Roman" w:hint="default"/>
                <w:color w:val="000000"/>
                <w:sz w:val="24"/>
                <w:u w:val="none"/>
              </w:rPr>
              <w:t xml:space="preserve">ру үшін: https://sed.aues.kz/verify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</w:t>
            </w:r>
            <w:r>
              <w:rPr>
                <w:rFonts w:ascii="Times New Roman" w:hAnsi="Times New Roman" w:cs="Times New Roman" w:eastAsia="Times New Roman" w:hint="default"/>
                <w:color w:val="000000"/>
                <w:sz w:val="24"/>
                <w:u w:val="none"/>
              </w:rPr>
              <w:t xml:space="preserve">ақстан Республикасының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https://sed.aues.kz/verify и заполните необходимые поля. Для пр</w:t>
            </w:r>
            <w:r>
              <w:rPr>
                <w:rFonts w:ascii="Times New Roman" w:hAnsi="Times New Roman" w:cs="Times New Roman" w:eastAsia="Times New Roman" w:hint="default"/>
                <w:color w:val="000000"/>
                <w:sz w:val="24"/>
                <w:u w:val="none"/>
              </w:rPr>
              <w:t xml:space="preserve">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0"/>
        <w:jc w:val="center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b/>
          <w:i/>
          <w:sz w:val="22"/>
        </w:rPr>
        <w:t xml:space="preserve">Лист соглосования</w:t>
      </w:r>
      <w:r>
        <w:rPr>
          <w:rFonts w:ascii="Times New Roman" w:hAnsi="Times New Roman" w:cs="Times New Roman" w:eastAsia="Times New Roman"/>
          <w:b/>
          <w:i/>
          <w:sz w:val="22"/>
          <w:highlight w:val="none"/>
        </w:rPr>
      </w:r>
      <w:r/>
    </w:p>
    <w:p>
      <w:pPr>
        <w:ind w:left="0" w:right="0" w:firstLine="709"/>
        <w:jc w:val="left"/>
      </w:pPr>
      <w:r>
        <w:rPr>
          <w:rFonts w:ascii="Times New Roman" w:hAnsi="Times New Roman" w:cs="Times New Roman" w:eastAsia="Times New Roman"/>
          <w:b/>
          <w:i/>
          <w:sz w:val="22"/>
          <w:highlight w:val="none"/>
        </w:rPr>
      </w:r>
      <w:r>
        <w:rPr>
          <w:rFonts w:ascii="Times New Roman" w:hAnsi="Times New Roman"/>
          <w:sz w:val="28"/>
        </w:rPr>
      </w:r>
      <w:r/>
    </w:p>
    <w:tbl>
      <w:tblPr>
        <w:tblStyle w:val="893"/>
        <w:tblW w:w="0" w:type="auto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</w:rPr>
              <w:t xml:space="preserve">ФИО, подразделение,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</w:rPr>
              <w:t xml:space="preserve">Тип действия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</w:rPr>
              <w:t xml:space="preserve">Дата и время согласования или подписания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</w:rPr>
              <w:t xml:space="preserve">Данные по ЭЦП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Печерская Е.Г. - Главный финансовый аналитик - Департамент финансов и учета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Согласовано (_)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13.08.2025 09:29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ПЕЧЕРСКАЯ Е.Г.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Жандарбек Д.Ж. - Главный операционный директор - Ректорат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13.08.2025 10:42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ЖАНДАРБЕК Д.Ж.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Жупанхан А. - Проректор по академической деятельности - Ректорат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13.08.2025 11:10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ЖУПАНХАН А.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Жазыкпаева А.А. - Проректор по развитию - Ректорат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Согласовано (Исправить - 2. Установить для работников административно-хозяйственного департамента Университета, относящихся к вспомогательному персоналу (технические исполнители), в том чис</w:t>
            </w:r>
            <w:r>
              <w:rPr>
                <w:rFonts w:ascii="Times New Roman" w:hAnsi="Times New Roman"/>
              </w:rPr>
              <w:t xml:space="preserve">ле заведующие общежитиями (коменданты), вахтеры, уборщики, медицинский персонал, разнорабочие, проживающих в общежитии, плату за проживание в размере, покрывающем только коммунальные услуги. Дополнить - 1.4. (если иное не предусмотрено в Договоре с вузом))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13.08.2025 17:42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ЖАЗЫКПАЕВА А.А.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Ныгыметов Г.С. - Ректор - Ректорат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Подписано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13.08.2025 17:53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ҰЛТТЫҚ КУӘЛАНДЫРУШЫ ОРТАЛЫҚ (GOST) 2022, НЫГЫМЕТОВ ГАНИ, Некоммерческое акционерное общество "Алматинский университет энергетики и связи имени Гумарбека Даукеева"</w:t>
            </w:r>
            <w:r/>
          </w:p>
        </w:tc>
      </w:tr>
    </w:tbl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1066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Times New Roman">
    <w:panose1 w:val="02020603050405020304"/>
  </w:font>
  <w:font w:name="Noto Sans CJK SC">
    <w:panose1 w:val="020B0509000000000004"/>
  </w:font>
  <w:font w:name="Courier New">
    <w:panose1 w:val="02070309020205020404"/>
  </w:font>
  <w:font w:name="Lohit Devanagari">
    <w:panose1 w:val="020B0600000000000000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pStyle w:val="75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afterAutospacing="0" w:line="120" w:lineRule="auto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53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footnote reference"/>
    <w:basedOn w:val="738"/>
    <w:uiPriority w:val="99"/>
    <w:unhideWhenUsed/>
    <w:rPr>
      <w:vertAlign w:val="superscript"/>
    </w:rPr>
  </w:style>
  <w:style w:type="character" w:styleId="703">
    <w:name w:val="endnote reference"/>
    <w:basedOn w:val="738"/>
    <w:uiPriority w:val="99"/>
    <w:semiHidden/>
    <w:unhideWhenUsed/>
    <w:rPr>
      <w:vertAlign w:val="superscript"/>
    </w:rPr>
  </w:style>
  <w:style w:type="paragraph" w:styleId="704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706">
    <w:name w:val="Heading 1"/>
    <w:basedOn w:val="70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07">
    <w:name w:val="Heading 2"/>
    <w:basedOn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08">
    <w:name w:val="Heading 3"/>
    <w:basedOn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09">
    <w:name w:val="Heading 4"/>
    <w:basedOn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0">
    <w:name w:val="Heading 5"/>
    <w:basedOn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11">
    <w:name w:val="Heading 6"/>
    <w:basedOn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2">
    <w:name w:val="Heading 7"/>
    <w:basedOn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13">
    <w:name w:val="Heading 8"/>
    <w:basedOn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14">
    <w:name w:val="Heading 9"/>
    <w:basedOn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5">
    <w:name w:val="Footnote Characters"/>
    <w:basedOn w:val="738"/>
    <w:uiPriority w:val="99"/>
    <w:unhideWhenUsed/>
    <w:qFormat/>
    <w:rPr>
      <w:vertAlign w:val="superscript"/>
    </w:rPr>
  </w:style>
  <w:style w:type="character" w:styleId="716">
    <w:name w:val="Footnote Anchor"/>
    <w:rPr>
      <w:vertAlign w:val="superscript"/>
    </w:rPr>
  </w:style>
  <w:style w:type="character" w:styleId="717">
    <w:name w:val="Endnote Characters"/>
    <w:basedOn w:val="738"/>
    <w:uiPriority w:val="99"/>
    <w:semiHidden/>
    <w:unhideWhenUsed/>
    <w:qFormat/>
    <w:rPr>
      <w:vertAlign w:val="superscript"/>
    </w:rPr>
  </w:style>
  <w:style w:type="character" w:styleId="718">
    <w:name w:val="Endnote Anchor"/>
    <w:rPr>
      <w:vertAlign w:val="superscript"/>
    </w:rPr>
  </w:style>
  <w:style w:type="character" w:styleId="719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720">
    <w:name w:val="Heading 2 Char"/>
    <w:uiPriority w:val="9"/>
    <w:qFormat/>
    <w:rPr>
      <w:rFonts w:ascii="Arial" w:hAnsi="Arial" w:cs="Arial" w:eastAsia="Arial"/>
      <w:sz w:val="34"/>
    </w:rPr>
  </w:style>
  <w:style w:type="character" w:styleId="721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722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23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24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25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26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27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28">
    <w:name w:val="Title Char"/>
    <w:uiPriority w:val="10"/>
    <w:qFormat/>
    <w:rPr>
      <w:sz w:val="48"/>
      <w:szCs w:val="48"/>
    </w:rPr>
  </w:style>
  <w:style w:type="character" w:styleId="729">
    <w:name w:val="Subtitle Char"/>
    <w:uiPriority w:val="11"/>
    <w:qFormat/>
    <w:rPr>
      <w:sz w:val="24"/>
      <w:szCs w:val="24"/>
    </w:rPr>
  </w:style>
  <w:style w:type="character" w:styleId="730">
    <w:name w:val="Quote Char"/>
    <w:uiPriority w:val="29"/>
    <w:qFormat/>
    <w:rPr>
      <w:i/>
    </w:rPr>
  </w:style>
  <w:style w:type="character" w:styleId="731">
    <w:name w:val="Intense Quote Char"/>
    <w:uiPriority w:val="30"/>
    <w:qFormat/>
    <w:rPr>
      <w:i/>
    </w:rPr>
  </w:style>
  <w:style w:type="character" w:styleId="732">
    <w:name w:val="Header Char"/>
    <w:uiPriority w:val="99"/>
    <w:qFormat/>
  </w:style>
  <w:style w:type="character" w:styleId="733">
    <w:name w:val="Footer Char"/>
    <w:uiPriority w:val="99"/>
    <w:qFormat/>
  </w:style>
  <w:style w:type="character" w:styleId="734">
    <w:name w:val="Caption Char"/>
    <w:uiPriority w:val="99"/>
    <w:qFormat/>
  </w:style>
  <w:style w:type="character" w:styleId="735">
    <w:name w:val="Hyperlink"/>
    <w:uiPriority w:val="99"/>
    <w:unhideWhenUsed/>
    <w:rPr>
      <w:color w:val="0000FF" w:themeColor="hyperlink"/>
      <w:u w:val="single"/>
    </w:rPr>
  </w:style>
  <w:style w:type="character" w:styleId="736">
    <w:name w:val="Footnote Text Char"/>
    <w:uiPriority w:val="99"/>
    <w:qFormat/>
    <w:rPr>
      <w:sz w:val="18"/>
    </w:rPr>
  </w:style>
  <w:style w:type="character" w:styleId="737">
    <w:name w:val="Endnote Text Char"/>
    <w:uiPriority w:val="99"/>
    <w:qFormat/>
    <w:rPr>
      <w:sz w:val="20"/>
    </w:rPr>
  </w:style>
  <w:style w:type="character" w:styleId="738" w:default="1">
    <w:name w:val="Default Paragraph Font"/>
    <w:uiPriority w:val="1"/>
    <w:semiHidden/>
    <w:unhideWhenUsed/>
    <w:qFormat/>
  </w:style>
  <w:style w:type="paragraph" w:styleId="739">
    <w:name w:val="Heading"/>
    <w:basedOn w:val="705"/>
    <w:next w:val="740"/>
    <w:qFormat/>
    <w:pPr>
      <w:keepNext/>
      <w:spacing w:before="240" w:after="120"/>
    </w:pPr>
    <w:rPr>
      <w:rFonts w:ascii="Liberation Sans" w:hAnsi="Liberation Sans" w:cs="Lohit Devanagari" w:eastAsia="Noto Sans CJK SC"/>
      <w:sz w:val="28"/>
      <w:szCs w:val="28"/>
    </w:rPr>
  </w:style>
  <w:style w:type="paragraph" w:styleId="740">
    <w:name w:val="Body Text"/>
    <w:basedOn w:val="705"/>
    <w:pPr>
      <w:spacing w:before="0" w:after="140" w:line="276" w:lineRule="auto"/>
    </w:pPr>
  </w:style>
  <w:style w:type="paragraph" w:styleId="741">
    <w:name w:val="List"/>
    <w:basedOn w:val="740"/>
    <w:rPr>
      <w:rFonts w:cs="Lohit Devanagari"/>
    </w:rPr>
  </w:style>
  <w:style w:type="paragraph" w:styleId="742">
    <w:name w:val="Caption"/>
    <w:basedOn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43">
    <w:name w:val="Index"/>
    <w:basedOn w:val="705"/>
    <w:qFormat/>
    <w:pPr>
      <w:suppressLineNumbers/>
    </w:pPr>
    <w:rPr>
      <w:rFonts w:cs="Lohit Devanagari"/>
    </w:rPr>
  </w:style>
  <w:style w:type="paragraph" w:styleId="744">
    <w:name w:val="Title"/>
    <w:basedOn w:val="70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5">
    <w:name w:val="Subtitle"/>
    <w:basedOn w:val="705"/>
    <w:uiPriority w:val="11"/>
    <w:qFormat/>
    <w:pPr>
      <w:spacing w:before="200" w:after="200"/>
    </w:pPr>
    <w:rPr>
      <w:sz w:val="24"/>
      <w:szCs w:val="24"/>
    </w:rPr>
  </w:style>
  <w:style w:type="paragraph" w:styleId="746">
    <w:name w:val="Quote"/>
    <w:basedOn w:val="705"/>
    <w:uiPriority w:val="29"/>
    <w:qFormat/>
    <w:pPr>
      <w:ind w:left="720" w:right="720" w:firstLine="0"/>
    </w:pPr>
    <w:rPr>
      <w:i/>
    </w:rPr>
  </w:style>
  <w:style w:type="paragraph" w:styleId="747">
    <w:name w:val="Intense Quote"/>
    <w:basedOn w:val="705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8">
    <w:name w:val="Header and Footer"/>
    <w:basedOn w:val="705"/>
    <w:qFormat/>
  </w:style>
  <w:style w:type="paragraph" w:styleId="749">
    <w:name w:val="Header"/>
    <w:basedOn w:val="70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0">
    <w:name w:val="Footer"/>
    <w:basedOn w:val="70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1">
    <w:name w:val="footnote text"/>
    <w:basedOn w:val="70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2">
    <w:name w:val="endnote text"/>
    <w:basedOn w:val="70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3">
    <w:name w:val="toc 1"/>
    <w:basedOn w:val="705"/>
    <w:uiPriority w:val="39"/>
    <w:unhideWhenUsed/>
    <w:pPr>
      <w:ind w:left="0" w:right="0" w:firstLine="0"/>
      <w:spacing w:before="0" w:after="57"/>
    </w:pPr>
  </w:style>
  <w:style w:type="paragraph" w:styleId="754">
    <w:name w:val="toc 2"/>
    <w:basedOn w:val="705"/>
    <w:uiPriority w:val="39"/>
    <w:unhideWhenUsed/>
    <w:pPr>
      <w:ind w:left="283" w:right="0" w:firstLine="0"/>
      <w:spacing w:before="0" w:after="57"/>
    </w:pPr>
  </w:style>
  <w:style w:type="paragraph" w:styleId="755">
    <w:name w:val="toc 3"/>
    <w:basedOn w:val="705"/>
    <w:uiPriority w:val="39"/>
    <w:unhideWhenUsed/>
    <w:pPr>
      <w:ind w:left="567" w:right="0" w:firstLine="0"/>
      <w:spacing w:before="0" w:after="57"/>
    </w:pPr>
  </w:style>
  <w:style w:type="paragraph" w:styleId="756">
    <w:name w:val="toc 4"/>
    <w:basedOn w:val="705"/>
    <w:uiPriority w:val="39"/>
    <w:unhideWhenUsed/>
    <w:pPr>
      <w:ind w:left="850" w:right="0" w:firstLine="0"/>
      <w:spacing w:before="0" w:after="57"/>
    </w:pPr>
  </w:style>
  <w:style w:type="paragraph" w:styleId="757">
    <w:name w:val="toc 5"/>
    <w:basedOn w:val="705"/>
    <w:uiPriority w:val="39"/>
    <w:unhideWhenUsed/>
    <w:pPr>
      <w:ind w:left="1134" w:right="0" w:firstLine="0"/>
      <w:spacing w:before="0" w:after="57"/>
    </w:pPr>
  </w:style>
  <w:style w:type="paragraph" w:styleId="758">
    <w:name w:val="toc 6"/>
    <w:basedOn w:val="705"/>
    <w:uiPriority w:val="39"/>
    <w:unhideWhenUsed/>
    <w:pPr>
      <w:ind w:left="1417" w:right="0" w:firstLine="0"/>
      <w:spacing w:before="0" w:after="57"/>
    </w:pPr>
  </w:style>
  <w:style w:type="paragraph" w:styleId="759">
    <w:name w:val="toc 7"/>
    <w:basedOn w:val="705"/>
    <w:uiPriority w:val="39"/>
    <w:unhideWhenUsed/>
    <w:pPr>
      <w:ind w:left="1701" w:right="0" w:firstLine="0"/>
      <w:spacing w:before="0" w:after="57"/>
    </w:pPr>
  </w:style>
  <w:style w:type="paragraph" w:styleId="760">
    <w:name w:val="toc 8"/>
    <w:basedOn w:val="705"/>
    <w:uiPriority w:val="39"/>
    <w:unhideWhenUsed/>
    <w:pPr>
      <w:ind w:left="1984" w:right="0" w:firstLine="0"/>
      <w:spacing w:before="0" w:after="57"/>
    </w:pPr>
  </w:style>
  <w:style w:type="paragraph" w:styleId="761">
    <w:name w:val="toc 9"/>
    <w:basedOn w:val="705"/>
    <w:uiPriority w:val="39"/>
    <w:unhideWhenUsed/>
    <w:pPr>
      <w:ind w:left="2268" w:right="0" w:firstLine="0"/>
      <w:spacing w:before="0" w:after="57"/>
    </w:pPr>
  </w:style>
  <w:style w:type="paragraph" w:styleId="76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763">
    <w:name w:val="No Spacing"/>
    <w:basedOn w:val="705"/>
    <w:uiPriority w:val="1"/>
    <w:qFormat/>
    <w:pPr>
      <w:spacing w:before="0" w:after="0" w:line="240" w:lineRule="auto"/>
    </w:pPr>
  </w:style>
  <w:style w:type="paragraph" w:styleId="764">
    <w:name w:val="List Paragraph"/>
    <w:basedOn w:val="705"/>
    <w:uiPriority w:val="34"/>
    <w:qFormat/>
    <w:pPr>
      <w:contextualSpacing/>
      <w:ind w:left="720" w:firstLine="0"/>
      <w:spacing w:before="0" w:after="200"/>
    </w:pPr>
  </w:style>
  <w:style w:type="numbering" w:styleId="765" w:default="1">
    <w:name w:val="No List"/>
    <w:uiPriority w:val="99"/>
    <w:semiHidden/>
    <w:unhideWhenUsed/>
    <w:qFormat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92" w:default="1">
    <w:name w:val="Normal Table"/>
    <w:uiPriority w:val="99"/>
    <w:semiHidden/>
    <w:unhideWhenUsed/>
    <w:tblPr/>
  </w:style>
  <w:style w:type="table" w:styleId="893" w:customStyle="1">
    <w:name w:val="SalemTable"/>
    <w:rPr>
      <w:rFonts w:ascii="Times New Roman" w:hAnsi="Times New Roman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hyperlink" Target="mailto:aues@aues.kz" TargetMode="External"/><Relationship Id="rId18" Type="http://schemas.openxmlformats.org/officeDocument/2006/relationships/hyperlink" Target="mailto:aues@aues.kz" TargetMode="External"/><Relationship Id="rId19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Каипжанова Анар Мукашевнa</cp:lastModifiedBy>
  <cp:revision>27</cp:revision>
  <dcterms:modified xsi:type="dcterms:W3CDTF">2025-08-15T09:20:36Z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